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348053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70655C">
        <w:rPr>
          <w:rFonts w:ascii="Garamond" w:hAnsi="Garamond"/>
          <w:sz w:val="24"/>
          <w:szCs w:val="24"/>
        </w:rPr>
        <w:t>5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2572B576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655C" w:rsidRPr="00520CC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https://zakazky.zcu.cz/contract_display_5876.html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53491D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92D8F">
        <w:rPr>
          <w:rFonts w:ascii="Garamond" w:hAnsi="Garamond" w:cs="Arial"/>
          <w:b/>
          <w:sz w:val="22"/>
          <w:szCs w:val="22"/>
        </w:rPr>
        <w:t>1</w:t>
      </w:r>
      <w:r w:rsidR="0070655C">
        <w:rPr>
          <w:rFonts w:ascii="Garamond" w:hAnsi="Garamond" w:cs="Arial"/>
          <w:b/>
          <w:sz w:val="22"/>
          <w:szCs w:val="22"/>
        </w:rPr>
        <w:t>6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EF660" w14:textId="77777777" w:rsidR="006E753D" w:rsidRDefault="006E753D" w:rsidP="00795AAC">
      <w:r>
        <w:separator/>
      </w:r>
    </w:p>
  </w:endnote>
  <w:endnote w:type="continuationSeparator" w:id="0">
    <w:p w14:paraId="1D4FE178" w14:textId="77777777" w:rsidR="006E753D" w:rsidRDefault="006E753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6DC2" w14:textId="77777777" w:rsidR="006E753D" w:rsidRDefault="006E753D" w:rsidP="00795AAC">
      <w:r>
        <w:separator/>
      </w:r>
    </w:p>
  </w:footnote>
  <w:footnote w:type="continuationSeparator" w:id="0">
    <w:p w14:paraId="4476FFD2" w14:textId="77777777" w:rsidR="006E753D" w:rsidRDefault="006E753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6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Ch9vcMla3yJmK/ZsUoWO4JhkzPRVpuppygpqS7Le04A=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nkpl767t02c62REWEwzA8eTeTjpUqKfnrBj/U+es1os=</DigestValue>
    </Reference>
  </SignedInfo>
  <SignatureValue>cYENGVuHlIDr3ql7/0NxXiV6vLx4NpJGfZsnrceQr/jDogg+s5639bsZMBckXDhroMvyVFlT9bdv
8nO8f90wkCU/VIIQyUfPFPKynUwOv6TYU2MfxLCQegqfNEVz4pZQwHASsBG5aeJBAEyVE7ekKOUA
u053L2Ai53HBd7QxMTHzHz4pi+4tIo8NztLdi57Z4LAY8w2qw5K9nT4oYs4cKti7d/XpWz0mdel5
1aovSAZUYYy9dDoif9iqrVoOEuc6yGTGcKeRjDitZhhYQ+0FF4ips2bDu2vFmVGTRetUZtqXgiG+
iQE+cUkYPlnQExK+O3401ddHNAXfS0MusmOAmg==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8hTiVKnSETnlqV2+RsXgz/UEdF1KEP9OFvh7NSBoLxo=</DigestValue>
      </Reference>
      <Reference URI="/word/document.xml?ContentType=application/vnd.openxmlformats-officedocument.wordprocessingml.document.main+xml">
        <DigestMethod Algorithm="http://www.w3.org/2001/04/xmlenc#sha256"/>
        <DigestValue>05lZYUd52xoNcvjF56dQ4hQ36bJZvYZhIoRdEFXten4=</DigestValue>
      </Reference>
      <Reference URI="/word/endnotes.xml?ContentType=application/vnd.openxmlformats-officedocument.wordprocessingml.endnotes+xml">
        <DigestMethod Algorithm="http://www.w3.org/2001/04/xmlenc#sha256"/>
        <DigestValue>UCjFh5nyOy/cFBp4hHE53U5l/ncuxpysNOznAQMm9eU=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AynFyvABCRVPnOv8MXCRdhzk4u9LP+tPTlHbQL835ow=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ZHZYGqOkr3e7YI5BriOfvfUs+eREyDXnjIWgsdicSCo=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2023-03-03T07:23:33Z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2023-03-03T07:23:33Z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2023-03-02T06:51:00Z</cp:lastPrinted>
  <dcterms:created xsi:type="dcterms:W3CDTF">2023-03-03T06:52:00Z</dcterms:created>
  <dcterms:modified xsi:type="dcterms:W3CDTF">2023-03-03T07:23:00Z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